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Default="009500C0">
      <w:bookmarkStart w:id="0" w:name="_GoBack"/>
      <w:bookmarkEnd w:id="0"/>
      <w:proofErr w:type="gramStart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 xml:space="preserve">Le sacre consonanze di Liszt e </w:t>
      </w:r>
      <w:proofErr w:type="spellStart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>Pärt</w:t>
      </w:r>
      <w:proofErr w:type="spellEnd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 xml:space="preserve"> secondo il Coro dell’Istituto Superiore di Studi Musicali G. Verdi</w:t>
      </w:r>
      <w:proofErr w:type="gramEnd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Dal 24 al 26 giugno,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19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i nuovi concerti dei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 a San Vitale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Non poteva mancare, tra gli appuntamenti quotidiani che compongo l’omaggio in musica al patrimonio d’arte e spiritualità rappresentato dalla Basilica di San Vitale, la collaborazione con una realtà centrale nella crescita culturale e musicale della città. 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di Ravenna Festival si arricchiscono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infatti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della partecipazione del Coro dell’Istituto Superiore di Studi Musicali “Giuseppe Verdi” di Ravenna. Con la direzione di Antonio Greco, Andrea Berardi all’organo e la partecipazione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della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mezzosoprano Anna Bessi,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Liszt e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Pärt</w:t>
      </w:r>
      <w:proofErr w:type="spellEnd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, sacre consonanze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è un’occasione per scoprire il volto sacro del catalogo di Franz Liszt, più legato nell’immaginario comune alla produzione pianistica, ma anche per affrontare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Arvo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Pärt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, fra i compositori che questa XXIX edizione del Festival celebra nella sezione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Il canto ritrovato della cetra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Tra le pagine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di 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ispirazione sacra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Pärt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Da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pacem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domine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fu commissionata all’autore estone da Jordi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Savall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; il testo, tratto dal Secondo libro dei Re, dalle Cronache e dal Salmo 72, è reso attraverso un’invocazione corale densa di misticismo. In ideale continuità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Vater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unser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in cui la voce solista disegna una melodia che unisce semplicità e bellezza a un delicato accompagnamento organistico. La musica sacra, che in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Pärt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è un tratto distintivo, è fondamentale anche nel catalogo di Franz Liszt. Dopo la morte della primogenita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Blandine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Liszt trascorse un lungo periodo di meditazione presso il monastero della Madonna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Rosario e, nel 1865, prese gli ordini minori. L’ispirazione devota, autentica, traspare in tutti i brevi lavori presentati. La chiusura del programma è nuovamente affidata 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Pärt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con l’esecuzione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del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Salve Regina</w:t>
      </w:r>
      <w:r>
        <w:rPr>
          <w:rFonts w:ascii="Calibri" w:eastAsia="Times New Roman" w:hAnsi="Calibri" w:cs="Times New Roman"/>
          <w:sz w:val="22"/>
          <w:szCs w:val="22"/>
        </w:rPr>
        <w:t xml:space="preserve"> per coro e organo, scritto nel 2002 per celebrare i 1150 anni dalla fondazione dell’Abbazia di Essen. La composizione è dedicata alla Madonna d’oro, statua lignea raffigurante una Vergine con Bambino, rivestita di placche d’oro, che nei secoli XIV e XV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veniva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portata in processione per le vie della città.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La formazione vocale e la pratica corale rivestono un ruolo fondante nell’ambito dell’offerta formativa dell’Istituto musicale ravennate; si sviluppa così la capacità degli allievi di lavorare creativamente unendo le esigenze dell’insieme a una capacità di controllo individuale dei meccanismi posturali e respiratori, fondamenti della pratica artistica - anche strumentale. Il repertorio affrontato dal Coro spazia da autori squisitamente didattici al grande repertorio monodico e polifonico, dal Medioevo all’età moderna.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A curare la pratica corale e la formazione vocale del coro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Antonio Greco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La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mezzosoprano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>Anna Bessi</w:t>
      </w:r>
      <w:r>
        <w:rPr>
          <w:rFonts w:ascii="Calibri" w:eastAsia="Times New Roman" w:hAnsi="Calibri" w:cs="Times New Roman"/>
          <w:sz w:val="22"/>
          <w:szCs w:val="22"/>
        </w:rPr>
        <w:t xml:space="preserve">, che ha approfondito in particolare il repertorio sei-settecentesco, ha un’intensa attività concertistica, in contesti quali il Festival della Valle d’Itria, Asiago Festival,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Händel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Festspiele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di Halle, con ensemble come Cremona Antiqua, Accademia degli Invaghiti, La risonanza, Accademia Bizantina.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 euro il biglietto del concerto (la durata è di circa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Info e prevendite: tel. 0544 249244 – www.ravennafestival.org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Coro dell’Istituto Superiore di Studi Musicali “Giuseppe Verdi” di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Ravenna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t>soprani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Amal</w:t>
      </w:r>
      <w:proofErr w:type="spellEnd"/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Ottavia Basir, Bianca Boccia Artieri, Francesca Coppola, Gabriela Paula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Crainic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Laura Fabris, Paola Fabris, Maria Andrea Fogli, Giulia Aurora Forlani, Rebecca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Fornaciari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Anthoula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Giannouli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Fiorella Giuri, Giulia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Ingoli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Koro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Izutegui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Patrizia Maioli, Martina Mancini, Alma Francesca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Marazzini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Monica Maurizi, Noemi Messina, Morena Onofri, Federica Paoli, Marisa Ragonesi, Anna Rigotti, Rebecca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Romagnesi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Jen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Angel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Sampaio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Simona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Spalazzi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Anna Chiara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Stampanoni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Franca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Strumia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, Licia Vasta, Marta Venturi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br/>
        <w:t>contralti</w:t>
      </w:r>
      <w:r>
        <w:rPr>
          <w:rFonts w:ascii="Calibri" w:eastAsia="Times New Roman" w:hAnsi="Calibri" w:cs="Times New Roman"/>
          <w:sz w:val="22"/>
          <w:szCs w:val="22"/>
        </w:rPr>
        <w:t xml:space="preserve"> Ginevra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Bandini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Anna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Busetti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Giuliana Casazza, Angela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Cuomo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Anna Rita Fabbri, Carlotta Farinelli, Mercedes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Fernàndez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Baraldo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Teresa Ferraro, Giulia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Foschini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Maria Luisa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Gasparini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Erika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Gasperotti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Tove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Guldhav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Marianna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Luordo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Denise Mansueto, Viola Martini, Cinzia Massi, Cecilia Paoli, Miria Ragonesi, Mirella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Savorelli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Sara Scali, Chiara Solano,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Diamanda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Tosatto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Laura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Valetti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Jacqueline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lastRenderedPageBreak/>
        <w:t>Voirol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br/>
        <w:t>tenori</w:t>
      </w:r>
      <w:r>
        <w:rPr>
          <w:rFonts w:ascii="Calibri" w:eastAsia="Times New Roman" w:hAnsi="Calibri" w:cs="Times New Roman"/>
          <w:sz w:val="22"/>
          <w:szCs w:val="22"/>
        </w:rPr>
        <w:t xml:space="preserve"> James André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Arevalos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Andrea Badiali, Ivan Brosio, Michele Casadio, Andrea Casali, Francesco Cavalieri, Alessandro Chiapponi, Paolo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Collia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Francesco Donati, Alessandro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Falasca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Romano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Lionetti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Ettore Mazzoli, Matteo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Pasini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Andrea Pirani, Mauro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Premate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Nicolino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Savioli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>, Amerigo Spano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i/>
          <w:iCs/>
          <w:sz w:val="22"/>
          <w:szCs w:val="22"/>
        </w:rPr>
        <w:br/>
        <w:t>bassi</w:t>
      </w:r>
      <w:r>
        <w:rPr>
          <w:rFonts w:ascii="Calibri" w:eastAsia="Times New Roman" w:hAnsi="Calibri" w:cs="Times New Roman"/>
          <w:sz w:val="22"/>
          <w:szCs w:val="22"/>
        </w:rPr>
        <w:t xml:space="preserve"> Luca Bolognesi, Davide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Camprini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Biagio Gradone, Michele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Mongardi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Marco Montanari, Federico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Pezzilli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Massimo Santarelli, Marco Tassani, Gianfranco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Tigani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Michele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Toccagino</w:t>
      </w:r>
      <w:proofErr w:type="spellEnd"/>
    </w:p>
    <w:sectPr w:rsidR="00E30734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C0"/>
    <w:rsid w:val="009500C0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50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50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Macintosh Word</Application>
  <DocSecurity>0</DocSecurity>
  <Lines>33</Lines>
  <Paragraphs>9</Paragraphs>
  <ScaleCrop>false</ScaleCrop>
  <Company>frm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1</cp:revision>
  <dcterms:created xsi:type="dcterms:W3CDTF">2018-06-21T09:25:00Z</dcterms:created>
  <dcterms:modified xsi:type="dcterms:W3CDTF">2018-06-21T09:32:00Z</dcterms:modified>
</cp:coreProperties>
</file>