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D87E0E"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 xml:space="preserve">Il duo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>Harmonia</w:t>
      </w:r>
      <w:proofErr w:type="spellEnd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>Ludens</w:t>
      </w:r>
      <w:proofErr w:type="spellEnd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 xml:space="preserve"> presenta </w:t>
      </w:r>
      <w:r>
        <w:rPr>
          <w:rFonts w:ascii="Calibri" w:eastAsia="Times New Roman" w:hAnsi="Calibri" w:cs="Times New Roman"/>
          <w:b/>
          <w:bCs/>
          <w:i/>
          <w:iCs/>
          <w:color w:val="800000"/>
          <w:sz w:val="40"/>
          <w:szCs w:val="40"/>
        </w:rPr>
        <w:t>Dialoghi bachiani</w:t>
      </w:r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 xml:space="preserve"> a San </w:t>
      </w:r>
      <w:proofErr w:type="gramStart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t>Vitale</w:t>
      </w:r>
      <w:proofErr w:type="gramEnd"/>
      <w:r>
        <w:rPr>
          <w:rFonts w:ascii="Calibri" w:eastAsia="Times New Roman" w:hAnsi="Calibri" w:cs="Times New Roman"/>
          <w:b/>
          <w:bCs/>
          <w:color w:val="800000"/>
          <w:sz w:val="40"/>
          <w:szCs w:val="40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Sabato 23 e mercoledì 27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 concerti per violino e violoncello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Violino e violoncello per pagine famose - e assai diverse - di Johann Sebastian Bach: è questo, in breve,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Dialoghi bachiani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il nuovo concerto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 programma sabato 23 e mercoledì 27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nella più amata delle basiliche cittadine. Ancora una volta un duo dunque, gli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Harmonia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Ludens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: Rocco Malagoli al violino e Matteo Montanari al violoncello presenteranno un programma interamente dedicato a Bach, mettendo a fuoco alcune delle forme musicali che meglio caratterizzato la sua musica - tutte ripensate e reinterpretate per violino e violoncello - fino a includere la celeberrima e monumentale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Toccata e fuga in re minore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BWV 565 scritta per organo ma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appositamente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rivisitata per esaltarne la ricca polifonia al cospetto dei mosaici di San Vitale.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Il programma di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Dialoghi bachiani</w:t>
      </w:r>
      <w:r>
        <w:rPr>
          <w:rFonts w:ascii="Calibri" w:eastAsia="Times New Roman" w:hAnsi="Calibri" w:cs="Times New Roman"/>
          <w:sz w:val="22"/>
          <w:szCs w:val="22"/>
        </w:rPr>
        <w:t xml:space="preserve"> inizia dalla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Sonata in sol maggiore</w:t>
      </w:r>
      <w:r>
        <w:rPr>
          <w:rFonts w:ascii="Calibri" w:eastAsia="Times New Roman" w:hAnsi="Calibri" w:cs="Times New Roman"/>
          <w:sz w:val="22"/>
          <w:szCs w:val="22"/>
        </w:rPr>
        <w:t xml:space="preserve"> BWV 1021, per violino e basso continuo, che si dipana nei quattro movimenti canonici delle sonate barocche mostrando la versatilità bachiana. Si passa poi alla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Fuga in sol minore</w:t>
      </w:r>
      <w:r>
        <w:rPr>
          <w:rFonts w:ascii="Calibri" w:eastAsia="Times New Roman" w:hAnsi="Calibri" w:cs="Times New Roman"/>
          <w:sz w:val="22"/>
          <w:szCs w:val="22"/>
        </w:rPr>
        <w:t xml:space="preserve"> BWV 578, originariamente per organo, ma qui affidata ai due strumenti ad arco. Anche le quattro Invenzioni furono pensate da Bach per la tastiera, il clavicembalo, ma la loro scrittura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scarna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, a due voci, le rende perfette per qualsiasi coppia di strumenti: brevissimi brani dove le voci dialogano con equilibrio mirabile.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La trascrizione sempre per due strumenti della celebre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Aria</w:t>
      </w:r>
      <w:r>
        <w:rPr>
          <w:rFonts w:ascii="Calibri" w:eastAsia="Times New Roman" w:hAnsi="Calibri" w:cs="Times New Roman"/>
          <w:sz w:val="22"/>
          <w:szCs w:val="22"/>
        </w:rPr>
        <w:t xml:space="preserve"> dalla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Terza Suite per orchestra in re maggiore</w:t>
      </w:r>
      <w:r>
        <w:rPr>
          <w:rFonts w:ascii="Calibri" w:eastAsia="Times New Roman" w:hAnsi="Calibri" w:cs="Times New Roman"/>
          <w:sz w:val="22"/>
          <w:szCs w:val="22"/>
        </w:rPr>
        <w:t xml:space="preserve"> cerca poi di mantenere la polifon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ia senza ledere la celestiale melodia affidata al violino. Si prosegue con il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Canone all’ottava</w:t>
      </w:r>
      <w:r>
        <w:rPr>
          <w:rFonts w:ascii="Calibri" w:eastAsia="Times New Roman" w:hAnsi="Calibri" w:cs="Times New Roman"/>
          <w:sz w:val="22"/>
          <w:szCs w:val="22"/>
        </w:rPr>
        <w:t xml:space="preserve"> che, come tutta l’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Arte della fuga</w:t>
      </w:r>
      <w:r>
        <w:rPr>
          <w:rFonts w:ascii="Calibri" w:eastAsia="Times New Roman" w:hAnsi="Calibri" w:cs="Times New Roman"/>
          <w:sz w:val="22"/>
          <w:szCs w:val="22"/>
        </w:rPr>
        <w:t xml:space="preserve">, non riporta indicazione di strumenti, quasi a sancire l’assolutezza di un’opera costruita su un contrappunto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ineccepibile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che la consacra ai vertici assoluti della musica occidentale. Chiude il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programma la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Toccata e fuga in re minore</w:t>
      </w:r>
      <w:r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Rocco Malagoli</w:t>
      </w:r>
      <w:r>
        <w:rPr>
          <w:rFonts w:ascii="Calibri" w:eastAsia="Times New Roman" w:hAnsi="Calibri" w:cs="Times New Roman"/>
          <w:sz w:val="22"/>
          <w:szCs w:val="22"/>
        </w:rPr>
        <w:t xml:space="preserve"> si è perfezionato al Conservatorio della Svizzera Italiana di Lugano con Massimo Quarta e si è già esibito con orchestre quali la Verdi di Milano, la Toscanini di parma e quella dell’Accademia Nazionale di Santa Cecilia;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privilegia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però il repertorio cameristico e insegna all’Istituto musicale “Peri” di Reggio Emilio. Il ravennate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Matteo Montanari</w:t>
      </w:r>
      <w:r>
        <w:rPr>
          <w:rFonts w:ascii="Calibri" w:eastAsia="Times New Roman" w:hAnsi="Calibri" w:cs="Times New Roman"/>
          <w:sz w:val="22"/>
          <w:szCs w:val="22"/>
        </w:rPr>
        <w:t xml:space="preserve"> si è diplomato all’Istituto musicale “Verdi” della città, per poi diventare primo violoncello dell’Orchestra Giovanile Italiana - nelle cui fila ha suonato anche Malagoli. Ha suonato con la Verdi di Milano e dal 2010 lavora alla divulgazione della musica classica in Indonesia, nei panni di docente, concertista, redattore di testi didattici,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nonché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fondatore di una scuola di musica nella città di Surabaya.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0E"/>
    <w:rsid w:val="00D87E0E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Macintosh Word</Application>
  <DocSecurity>0</DocSecurity>
  <Lines>20</Lines>
  <Paragraphs>5</Paragraphs>
  <ScaleCrop>false</ScaleCrop>
  <Company>frm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2018-06-21T09:11:00Z</dcterms:created>
  <dcterms:modified xsi:type="dcterms:W3CDTF">2018-06-21T09:11:00Z</dcterms:modified>
</cp:coreProperties>
</file>