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Default="00A21452"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t>FENDER VINTAGE: LA CHITARRA CHE HA FATTO LA STORIA DEL ROCK</w:t>
      </w:r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Dal 16 al 24 giugno la mostra dedicata alla Fender a Palazzo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Rasponi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dalle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Teste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Venerdì 15 giugno, ore 18.30, </w:t>
      </w:r>
      <w:proofErr w:type="gram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vernissage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con interventi musicali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Se la chitarra elettrica è lo strumento re della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popular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music, allora la Fender è l’indiscussa regina delle chitarre: in occasione della settimana di eventi che celebrerà lo strumento che ha segnato la storia della musica degli ultimi fragorosi decenni, venerdì 15 giugno alle 18.30 Ravenna Festival presenta la mostra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Fender Vintage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un’imperdibile passeggiata nella storia della musica attraverso oltre cento chitarre con le loro custodie originali, cataloghi, manifesti, documenti e fotografie legati al leggendario marchio californiano. I pezzi in esposizione? C’è da non crederci: la più completa collezione di Fender al mondo non si trova in America.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E neppure in una grande capitale europea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. Si trova qui, in Romagna, tra Ravenna e Forlì: grazie al generoso sostegno di Mario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Boccaccini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il Museo Fender di Flavio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Camorani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e Michela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Taioli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sarà a Palazzo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Rasponi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dal 16 al 24 giugno.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“La chitarra elettrica, in America come da noi, ha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dato vita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a una musica popolare e molto aperta a contaminazioni,”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nota Mario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Boccaccini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a propria volta appassionato collezionista cui si deve l’idea della mostra, “diventando così lo strumento ideale per cantare e raccontare la vita.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E Flavio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Camorani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è un amico e un consulente prezioso per chi come me ama, tra le chitarre elettriche, le gloriose Fender”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Gli oltre centodieci esemplari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del Fender Vintage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Museum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- tutti corredati di custodie originali - sono stati collezionati in trentacinque anni di meticolosa passione, per far rivivere sonorità ed emozioni che hanno accompagnato un’epoca. La collezione del Museo Fender ripercorre il periodo d’oro del celeberrimo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brand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fondato da Leo Fender, sinonimo di qualità, ecletticità e artigianalità; d’altra parte la prima chitarra elettrica e il primo basso elettrico della storia furono creati proprio dalla Fender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Factory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Accanto agli strumenti e agli amplificatori, anche cataloghi, manifesti, documenti,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memorabilia</w:t>
      </w:r>
      <w:r>
        <w:rPr>
          <w:rFonts w:ascii="Calibri" w:eastAsia="Times New Roman" w:hAnsi="Calibri" w:cs="Times New Roman"/>
          <w:sz w:val="22"/>
          <w:szCs w:val="22"/>
        </w:rPr>
        <w:t xml:space="preserve"> e fotografie d’epoca.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>Gli esemplari sono datati dal 1946 al 1974, anno in cui la Fender fu ceduta a un’altra società: “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quel momento Leo Fender e i suoi collaboratori, che già nel 1965 avevano venduto buona parte delle quote della fabbrica originaria alla CBS, si ritirano completamente anche da ogni controllo di qualità,”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spiega Flavio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Camorani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. Dal 1974 si assiste quindi al declino del marchio: cambiano le vernici, i materiali sono scadenti e i musicisti cercano di barattare i nuovi modelli con quelli più vecchi. Nel 1950 Fender utilizzava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 infatti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legni tagliati trent’anni prima, lasciati invecchiare 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deresinare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; ogni strumento era diverso dall’altro, per una somma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microvarianti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dal taglio delle forme al numero delle spire del filo dei microfoni. Nasce così il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vintage</w:t>
      </w:r>
      <w:r>
        <w:rPr>
          <w:rFonts w:ascii="Calibri" w:eastAsia="Times New Roman" w:hAnsi="Calibri" w:cs="Times New Roman"/>
          <w:sz w:val="22"/>
          <w:szCs w:val="22"/>
        </w:rPr>
        <w:t xml:space="preserve"> delle Fender, custodi di un suono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irripetibile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Da martedì 19 giugno concerti a Ravenna, Russi e Comacchio comporranno invece un grande affresco sonoro tra soli ed esibizioni di massa, con un tocco di nostalgia ma soprattutto nuove composizioni - perché il progetto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We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Sing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the </w:t>
      </w:r>
      <w:proofErr w:type="gramStart"/>
      <w:r>
        <w:rPr>
          <w:rFonts w:ascii="Calibri" w:eastAsia="Times New Roman" w:hAnsi="Calibri" w:cs="Times New Roman"/>
          <w:i/>
          <w:iCs/>
          <w:sz w:val="22"/>
          <w:szCs w:val="22"/>
        </w:rPr>
        <w:t>Body</w:t>
      </w:r>
      <w:proofErr w:type="gram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Electric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non un revival, ma uno sguardo sul futuro della chitarra elettrica.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br/>
        <w:t>Fender vintage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è a Palazzo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Rasponi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dalla Teste, nella Sala delle Feste, dal 16 al 24 giugno. Aperta tutti i giorni dalle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15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alle 19; sabato, domenica e festivi dalle 11 alle 19. Ingresso libero.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52"/>
    <w:rsid w:val="00A21452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2953</Characters>
  <Application>Microsoft Macintosh Word</Application>
  <DocSecurity>0</DocSecurity>
  <Lines>24</Lines>
  <Paragraphs>6</Paragraphs>
  <ScaleCrop>false</ScaleCrop>
  <Company>frm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2018-06-14T07:35:00Z</dcterms:created>
  <dcterms:modified xsi:type="dcterms:W3CDTF">2018-06-14T07:37:00Z</dcterms:modified>
</cp:coreProperties>
</file>